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CEC21C" w14:textId="074FCB0A" w:rsidR="00692ADF" w:rsidRPr="00EE003D" w:rsidRDefault="00692ADF" w:rsidP="00692ADF">
      <w:pPr>
        <w:rPr>
          <w:rFonts w:ascii="Montserrat SemiBold" w:hAnsi="Montserrat SemiBold"/>
          <w:color w:val="00A19A"/>
          <w:sz w:val="28"/>
          <w:szCs w:val="28"/>
        </w:rPr>
      </w:pPr>
      <w:r w:rsidRPr="00EE003D">
        <w:rPr>
          <w:rFonts w:ascii="Montserrat SemiBold" w:hAnsi="Montserrat SemiBold"/>
          <w:color w:val="00A19A"/>
          <w:sz w:val="28"/>
          <w:szCs w:val="28"/>
        </w:rPr>
        <w:t>Due Diligence Checks</w:t>
      </w:r>
      <w:r w:rsidR="00632F55" w:rsidRPr="00EE003D">
        <w:rPr>
          <w:rFonts w:ascii="Montserrat SemiBold" w:hAnsi="Montserrat SemiBold"/>
          <w:color w:val="00A19A"/>
          <w:sz w:val="28"/>
          <w:szCs w:val="28"/>
        </w:rPr>
        <w:t xml:space="preserve"> </w:t>
      </w:r>
    </w:p>
    <w:p w14:paraId="0461A4A7" w14:textId="3C0A2233" w:rsidR="00692ADF" w:rsidRPr="00EE003D" w:rsidRDefault="00692ADF" w:rsidP="00692ADF">
      <w:pPr>
        <w:rPr>
          <w:rFonts w:ascii="Open Sans Light" w:hAnsi="Open Sans Light" w:cs="Open Sans Light"/>
        </w:rPr>
      </w:pPr>
      <w:r w:rsidRPr="003C5F0B">
        <w:t> </w:t>
      </w:r>
      <w:r w:rsidRPr="00EE003D">
        <w:rPr>
          <w:rFonts w:ascii="Open Sans Light" w:hAnsi="Open Sans Light" w:cs="Open Sans Light"/>
        </w:rPr>
        <w:t>Below is a guide to the checks we undertake: </w:t>
      </w:r>
    </w:p>
    <w:p w14:paraId="30F64527" w14:textId="109788EB" w:rsidR="00692ADF" w:rsidRPr="00EE003D" w:rsidRDefault="00692ADF" w:rsidP="00EE003D">
      <w:pPr>
        <w:pStyle w:val="ListParagraph"/>
        <w:numPr>
          <w:ilvl w:val="0"/>
          <w:numId w:val="16"/>
        </w:numPr>
        <w:rPr>
          <w:rFonts w:ascii="Open Sans Light" w:hAnsi="Open Sans Light" w:cs="Open Sans Light"/>
        </w:rPr>
      </w:pPr>
      <w:r w:rsidRPr="00EE003D">
        <w:rPr>
          <w:rFonts w:ascii="Open Sans Light" w:hAnsi="Open Sans Light" w:cs="Open Sans Light"/>
          <w:color w:val="00A19A"/>
        </w:rPr>
        <w:t> We look at Governing documents: </w:t>
      </w:r>
      <w:r w:rsidRPr="00EE003D">
        <w:rPr>
          <w:rFonts w:ascii="Open Sans Light" w:hAnsi="Open Sans Light" w:cs="Open Sans Light"/>
        </w:rPr>
        <w:t> </w:t>
      </w:r>
    </w:p>
    <w:p w14:paraId="72C7C2A1" w14:textId="77777777" w:rsidR="00692ADF" w:rsidRPr="00EE003D" w:rsidRDefault="00692ADF" w:rsidP="00692ADF">
      <w:pPr>
        <w:numPr>
          <w:ilvl w:val="0"/>
          <w:numId w:val="1"/>
        </w:numPr>
        <w:tabs>
          <w:tab w:val="clear" w:pos="720"/>
          <w:tab w:val="num" w:pos="1080"/>
        </w:tabs>
        <w:ind w:left="1080"/>
        <w:rPr>
          <w:rFonts w:ascii="Open Sans Light" w:hAnsi="Open Sans Light" w:cs="Open Sans Light"/>
        </w:rPr>
      </w:pPr>
      <w:r w:rsidRPr="00EE003D">
        <w:rPr>
          <w:rFonts w:ascii="Open Sans Light" w:hAnsi="Open Sans Light" w:cs="Open Sans Light"/>
        </w:rPr>
        <w:t>Check organisation appropriately constituted – i.e. registered charity/CIO or constituted not for profit community group with charitable objectives and dissolution clause.  Community Interest Companies (CICs) should be limited by guarantee not shares and contain asset lock.   </w:t>
      </w:r>
    </w:p>
    <w:p w14:paraId="7482960B" w14:textId="77777777" w:rsidR="00692ADF" w:rsidRPr="00EE003D" w:rsidRDefault="00692ADF" w:rsidP="00692ADF">
      <w:pPr>
        <w:numPr>
          <w:ilvl w:val="0"/>
          <w:numId w:val="2"/>
        </w:numPr>
        <w:tabs>
          <w:tab w:val="clear" w:pos="720"/>
          <w:tab w:val="num" w:pos="1080"/>
        </w:tabs>
        <w:ind w:left="1080"/>
        <w:rPr>
          <w:rFonts w:ascii="Open Sans Light" w:hAnsi="Open Sans Light" w:cs="Open Sans Light"/>
        </w:rPr>
      </w:pPr>
      <w:r w:rsidRPr="00EE003D">
        <w:rPr>
          <w:rFonts w:ascii="Open Sans Light" w:hAnsi="Open Sans Light" w:cs="Open Sans Light"/>
        </w:rPr>
        <w:t>Proposed activities fall within the group’s charitable objectives.  </w:t>
      </w:r>
    </w:p>
    <w:p w14:paraId="50C31211" w14:textId="7355A62D" w:rsidR="00692ADF" w:rsidRPr="00EE003D" w:rsidRDefault="00692ADF" w:rsidP="00692ADF">
      <w:pPr>
        <w:numPr>
          <w:ilvl w:val="0"/>
          <w:numId w:val="2"/>
        </w:numPr>
        <w:tabs>
          <w:tab w:val="clear" w:pos="720"/>
          <w:tab w:val="num" w:pos="1080"/>
        </w:tabs>
        <w:ind w:left="1080"/>
        <w:rPr>
          <w:rFonts w:ascii="Open Sans Light" w:hAnsi="Open Sans Light" w:cs="Open Sans Light"/>
        </w:rPr>
      </w:pPr>
      <w:r w:rsidRPr="00EE003D">
        <w:rPr>
          <w:rFonts w:ascii="Open Sans Light" w:hAnsi="Open Sans Light" w:cs="Open Sans Light"/>
        </w:rPr>
        <w:t>Need to see a list of</w:t>
      </w:r>
      <w:r w:rsidR="00925301">
        <w:rPr>
          <w:rFonts w:ascii="Open Sans Light" w:hAnsi="Open Sans Light" w:cs="Open Sans Light"/>
        </w:rPr>
        <w:t xml:space="preserve"> names and addresses of</w:t>
      </w:r>
      <w:r w:rsidRPr="00EE003D">
        <w:rPr>
          <w:rFonts w:ascii="Open Sans Light" w:hAnsi="Open Sans Light" w:cs="Open Sans Light"/>
        </w:rPr>
        <w:t xml:space="preserve"> trustees/management committee members – at least three of which are unrelated. </w:t>
      </w:r>
    </w:p>
    <w:p w14:paraId="13456640" w14:textId="70A44F51" w:rsidR="00692ADF" w:rsidRPr="00EE003D" w:rsidRDefault="00692ADF" w:rsidP="00EE003D">
      <w:pPr>
        <w:pStyle w:val="ListParagraph"/>
        <w:numPr>
          <w:ilvl w:val="0"/>
          <w:numId w:val="16"/>
        </w:numPr>
        <w:rPr>
          <w:rFonts w:ascii="Open Sans Light" w:hAnsi="Open Sans Light" w:cs="Open Sans Light"/>
          <w:color w:val="00A19A"/>
        </w:rPr>
      </w:pPr>
      <w:r w:rsidRPr="00EE003D">
        <w:rPr>
          <w:rFonts w:ascii="Open Sans Light" w:hAnsi="Open Sans Light" w:cs="Open Sans Light"/>
          <w:color w:val="00A19A"/>
        </w:rPr>
        <w:t>We look at the Charity Commission Website and Companies House records</w:t>
      </w:r>
      <w:r w:rsidR="00EE003D" w:rsidRPr="00EE003D">
        <w:rPr>
          <w:rFonts w:ascii="Open Sans Light" w:hAnsi="Open Sans Light" w:cs="Open Sans Light"/>
          <w:color w:val="00A19A"/>
        </w:rPr>
        <w:t>:</w:t>
      </w:r>
    </w:p>
    <w:p w14:paraId="6870616A" w14:textId="77777777" w:rsidR="00692ADF" w:rsidRPr="00EE003D" w:rsidRDefault="00692ADF" w:rsidP="00692ADF">
      <w:pPr>
        <w:numPr>
          <w:ilvl w:val="0"/>
          <w:numId w:val="4"/>
        </w:numPr>
        <w:rPr>
          <w:rFonts w:ascii="Open Sans Light" w:hAnsi="Open Sans Light" w:cs="Open Sans Light"/>
        </w:rPr>
      </w:pPr>
      <w:r w:rsidRPr="00EE003D">
        <w:rPr>
          <w:rFonts w:ascii="Open Sans Light" w:hAnsi="Open Sans Light" w:cs="Open Sans Light"/>
        </w:rPr>
        <w:t>Minimum of three unrelated Trustees/Directors. </w:t>
      </w:r>
    </w:p>
    <w:p w14:paraId="3A561A3E" w14:textId="77777777" w:rsidR="00692ADF" w:rsidRPr="00EE003D" w:rsidRDefault="00692ADF" w:rsidP="00692ADF">
      <w:pPr>
        <w:numPr>
          <w:ilvl w:val="0"/>
          <w:numId w:val="4"/>
        </w:numPr>
        <w:rPr>
          <w:rFonts w:ascii="Open Sans Light" w:hAnsi="Open Sans Light" w:cs="Open Sans Light"/>
        </w:rPr>
      </w:pPr>
      <w:r w:rsidRPr="00EE003D">
        <w:rPr>
          <w:rFonts w:ascii="Open Sans Light" w:hAnsi="Open Sans Light" w:cs="Open Sans Light"/>
        </w:rPr>
        <w:t xml:space="preserve">No returns to either organisation </w:t>
      </w:r>
      <w:proofErr w:type="gramStart"/>
      <w:r w:rsidRPr="00EE003D">
        <w:rPr>
          <w:rFonts w:ascii="Open Sans Light" w:hAnsi="Open Sans Light" w:cs="Open Sans Light"/>
        </w:rPr>
        <w:t>are</w:t>
      </w:r>
      <w:proofErr w:type="gramEnd"/>
      <w:r w:rsidRPr="00EE003D">
        <w:rPr>
          <w:rFonts w:ascii="Open Sans Light" w:hAnsi="Open Sans Light" w:cs="Open Sans Light"/>
        </w:rPr>
        <w:t xml:space="preserve"> overdue. </w:t>
      </w:r>
    </w:p>
    <w:p w14:paraId="1439843C" w14:textId="77777777" w:rsidR="00692ADF" w:rsidRPr="00EE003D" w:rsidRDefault="00692ADF" w:rsidP="00692ADF">
      <w:pPr>
        <w:numPr>
          <w:ilvl w:val="0"/>
          <w:numId w:val="4"/>
        </w:numPr>
        <w:rPr>
          <w:rFonts w:ascii="Open Sans Light" w:hAnsi="Open Sans Light" w:cs="Open Sans Light"/>
        </w:rPr>
      </w:pPr>
      <w:r w:rsidRPr="00EE003D">
        <w:rPr>
          <w:rFonts w:ascii="Open Sans Light" w:hAnsi="Open Sans Light" w:cs="Open Sans Light"/>
        </w:rPr>
        <w:t>There is not a proposal to remove the organisation from either register.  </w:t>
      </w:r>
    </w:p>
    <w:p w14:paraId="7D929EC0" w14:textId="77777777" w:rsidR="00692ADF" w:rsidRPr="00EE003D" w:rsidRDefault="00692ADF" w:rsidP="00692ADF">
      <w:pPr>
        <w:numPr>
          <w:ilvl w:val="0"/>
          <w:numId w:val="4"/>
        </w:numPr>
        <w:rPr>
          <w:rFonts w:ascii="Open Sans Light" w:hAnsi="Open Sans Light" w:cs="Open Sans Light"/>
        </w:rPr>
      </w:pPr>
      <w:r w:rsidRPr="00EE003D">
        <w:rPr>
          <w:rFonts w:ascii="Open Sans Light" w:hAnsi="Open Sans Light" w:cs="Open Sans Light"/>
        </w:rPr>
        <w:t>Registered address is the same as on the application form.  </w:t>
      </w:r>
    </w:p>
    <w:p w14:paraId="6549026C" w14:textId="54BB61CC" w:rsidR="00692ADF" w:rsidRPr="00EE003D" w:rsidRDefault="00692ADF" w:rsidP="00EE003D">
      <w:pPr>
        <w:pStyle w:val="ListParagraph"/>
        <w:numPr>
          <w:ilvl w:val="0"/>
          <w:numId w:val="16"/>
        </w:numPr>
        <w:rPr>
          <w:rFonts w:ascii="Open Sans Light" w:hAnsi="Open Sans Light" w:cs="Open Sans Light"/>
          <w:color w:val="00A19A"/>
        </w:rPr>
      </w:pPr>
      <w:r w:rsidRPr="00EE003D">
        <w:rPr>
          <w:rFonts w:ascii="Open Sans Light" w:hAnsi="Open Sans Light" w:cs="Open Sans Light"/>
          <w:color w:val="00A19A"/>
        </w:rPr>
        <w:t xml:space="preserve">We look at </w:t>
      </w:r>
      <w:proofErr w:type="gramStart"/>
      <w:r w:rsidRPr="00EE003D">
        <w:rPr>
          <w:rFonts w:ascii="Open Sans Light" w:hAnsi="Open Sans Light" w:cs="Open Sans Light"/>
          <w:color w:val="00A19A"/>
        </w:rPr>
        <w:t>Accounts</w:t>
      </w:r>
      <w:proofErr w:type="gramEnd"/>
      <w:r w:rsidRPr="00EE003D">
        <w:rPr>
          <w:rFonts w:ascii="Open Sans Light" w:hAnsi="Open Sans Light" w:cs="Open Sans Light"/>
          <w:color w:val="00A19A"/>
        </w:rPr>
        <w:t> </w:t>
      </w:r>
    </w:p>
    <w:p w14:paraId="3CEEC446" w14:textId="77777777" w:rsidR="00692ADF" w:rsidRPr="00EE003D" w:rsidRDefault="00692ADF" w:rsidP="00692ADF">
      <w:pPr>
        <w:numPr>
          <w:ilvl w:val="0"/>
          <w:numId w:val="6"/>
        </w:numPr>
        <w:rPr>
          <w:rFonts w:ascii="Open Sans Light" w:hAnsi="Open Sans Light" w:cs="Open Sans Light"/>
        </w:rPr>
      </w:pPr>
      <w:r w:rsidRPr="00EE003D">
        <w:rPr>
          <w:rFonts w:ascii="Open Sans Light" w:hAnsi="Open Sans Light" w:cs="Open Sans Light"/>
          <w:b/>
          <w:bCs/>
        </w:rPr>
        <w:t>Reserves</w:t>
      </w:r>
      <w:r w:rsidRPr="00EE003D">
        <w:rPr>
          <w:rFonts w:ascii="Open Sans Light" w:hAnsi="Open Sans Light" w:cs="Open Sans Light"/>
        </w:rPr>
        <w:t xml:space="preserve"> are reasonable given the size of the organisation and that these are in line with any reserves policies, we would usually expect between 3-6 months running costs and not more than 12 months free reserves. Organisations with significant reserves should be able to explain why these reserves cannot be used to cover the cost of the activity. </w:t>
      </w:r>
    </w:p>
    <w:p w14:paraId="2EEC7F82" w14:textId="77777777" w:rsidR="00692ADF" w:rsidRPr="00EE003D" w:rsidRDefault="00692ADF" w:rsidP="00692ADF">
      <w:pPr>
        <w:numPr>
          <w:ilvl w:val="0"/>
          <w:numId w:val="6"/>
        </w:numPr>
        <w:rPr>
          <w:rFonts w:ascii="Open Sans Light" w:hAnsi="Open Sans Light" w:cs="Open Sans Light"/>
        </w:rPr>
      </w:pPr>
      <w:r w:rsidRPr="00EE003D">
        <w:rPr>
          <w:rFonts w:ascii="Open Sans Light" w:hAnsi="Open Sans Light" w:cs="Open Sans Light"/>
          <w:b/>
          <w:bCs/>
        </w:rPr>
        <w:t>Income and expenditure</w:t>
      </w:r>
      <w:r w:rsidRPr="00EE003D">
        <w:rPr>
          <w:rFonts w:ascii="Open Sans Light" w:hAnsi="Open Sans Light" w:cs="Open Sans Light"/>
        </w:rPr>
        <w:t> – we note whether there are significant differences in expenditure from one year to another and whether they could pay all creditors from bank balances. </w:t>
      </w:r>
    </w:p>
    <w:p w14:paraId="41E45C0B" w14:textId="77777777" w:rsidR="00692ADF" w:rsidRPr="00EE003D" w:rsidRDefault="00692ADF" w:rsidP="00692ADF">
      <w:pPr>
        <w:numPr>
          <w:ilvl w:val="0"/>
          <w:numId w:val="6"/>
        </w:numPr>
        <w:rPr>
          <w:rFonts w:ascii="Open Sans Light" w:hAnsi="Open Sans Light" w:cs="Open Sans Light"/>
        </w:rPr>
      </w:pPr>
      <w:r w:rsidRPr="00EE003D">
        <w:rPr>
          <w:rFonts w:ascii="Open Sans Light" w:hAnsi="Open Sans Light" w:cs="Open Sans Light"/>
          <w:b/>
          <w:bCs/>
        </w:rPr>
        <w:t>Restricted funds</w:t>
      </w:r>
      <w:r w:rsidRPr="00EE003D">
        <w:rPr>
          <w:rFonts w:ascii="Open Sans Light" w:hAnsi="Open Sans Light" w:cs="Open Sans Light"/>
        </w:rPr>
        <w:t xml:space="preserve"> any deficit should be explained.   </w:t>
      </w:r>
    </w:p>
    <w:p w14:paraId="70ABE636" w14:textId="77777777" w:rsidR="00692ADF" w:rsidRPr="00EE003D" w:rsidRDefault="00692ADF" w:rsidP="00692ADF">
      <w:pPr>
        <w:numPr>
          <w:ilvl w:val="0"/>
          <w:numId w:val="6"/>
        </w:numPr>
        <w:rPr>
          <w:rFonts w:ascii="Open Sans Light" w:hAnsi="Open Sans Light" w:cs="Open Sans Light"/>
        </w:rPr>
      </w:pPr>
      <w:r w:rsidRPr="00EE003D">
        <w:rPr>
          <w:rFonts w:ascii="Open Sans Light" w:hAnsi="Open Sans Light" w:cs="Open Sans Light"/>
          <w:b/>
          <w:bCs/>
        </w:rPr>
        <w:t>Auditor’s organisational and financial review</w:t>
      </w:r>
      <w:r w:rsidRPr="00EE003D">
        <w:rPr>
          <w:rFonts w:ascii="Open Sans Light" w:hAnsi="Open Sans Light" w:cs="Open Sans Light"/>
        </w:rPr>
        <w:t xml:space="preserve"> check this does not highlight any significant concerns.  </w:t>
      </w:r>
    </w:p>
    <w:p w14:paraId="0DABAC1E" w14:textId="77777777" w:rsidR="00692ADF" w:rsidRPr="00EE003D" w:rsidRDefault="00692ADF" w:rsidP="00692ADF">
      <w:pPr>
        <w:numPr>
          <w:ilvl w:val="0"/>
          <w:numId w:val="6"/>
        </w:numPr>
        <w:rPr>
          <w:rFonts w:ascii="Open Sans Light" w:hAnsi="Open Sans Light" w:cs="Open Sans Light"/>
        </w:rPr>
      </w:pPr>
      <w:r w:rsidRPr="00EE003D">
        <w:rPr>
          <w:rFonts w:ascii="Open Sans Light" w:hAnsi="Open Sans Light" w:cs="Open Sans Light"/>
          <w:b/>
          <w:bCs/>
        </w:rPr>
        <w:t>Funding sources</w:t>
      </w:r>
      <w:r w:rsidRPr="00EE003D">
        <w:rPr>
          <w:rFonts w:ascii="Open Sans Light" w:hAnsi="Open Sans Light" w:cs="Open Sans Light"/>
        </w:rPr>
        <w:t xml:space="preserve"> are </w:t>
      </w:r>
      <w:proofErr w:type="gramStart"/>
      <w:r w:rsidRPr="00EE003D">
        <w:rPr>
          <w:rFonts w:ascii="Open Sans Light" w:hAnsi="Open Sans Light" w:cs="Open Sans Light"/>
        </w:rPr>
        <w:t>diverse</w:t>
      </w:r>
      <w:proofErr w:type="gramEnd"/>
      <w:r w:rsidRPr="00EE003D">
        <w:rPr>
          <w:rFonts w:ascii="Open Sans Light" w:hAnsi="Open Sans Light" w:cs="Open Sans Light"/>
        </w:rPr>
        <w:t xml:space="preserve"> and the organisation is not dependant on a particular funding stream that may be at risk.  </w:t>
      </w:r>
    </w:p>
    <w:p w14:paraId="0DF6B02D" w14:textId="77777777" w:rsidR="00692ADF" w:rsidRPr="00EE003D" w:rsidRDefault="00692ADF" w:rsidP="00692ADF">
      <w:pPr>
        <w:rPr>
          <w:rFonts w:ascii="Open Sans Light" w:hAnsi="Open Sans Light" w:cs="Open Sans Light"/>
        </w:rPr>
      </w:pPr>
      <w:r w:rsidRPr="00EE003D">
        <w:rPr>
          <w:rFonts w:ascii="Open Sans Light" w:hAnsi="Open Sans Light" w:cs="Open Sans Light"/>
        </w:rPr>
        <w:t> </w:t>
      </w:r>
    </w:p>
    <w:p w14:paraId="4BD16771" w14:textId="6A79C150" w:rsidR="00692ADF" w:rsidRPr="00EE003D" w:rsidRDefault="00692ADF" w:rsidP="00EE003D">
      <w:pPr>
        <w:pStyle w:val="ListParagraph"/>
        <w:numPr>
          <w:ilvl w:val="0"/>
          <w:numId w:val="16"/>
        </w:numPr>
        <w:rPr>
          <w:rFonts w:ascii="Open Sans Light" w:hAnsi="Open Sans Light" w:cs="Open Sans Light"/>
          <w:color w:val="00A19A"/>
        </w:rPr>
      </w:pPr>
      <w:r w:rsidRPr="00EE003D">
        <w:rPr>
          <w:rFonts w:ascii="Open Sans Light" w:hAnsi="Open Sans Light" w:cs="Open Sans Light"/>
          <w:color w:val="00A19A"/>
        </w:rPr>
        <w:lastRenderedPageBreak/>
        <w:t>We look at Bank Statements </w:t>
      </w:r>
    </w:p>
    <w:p w14:paraId="3B7A43A0" w14:textId="25D86E97" w:rsidR="00692ADF" w:rsidRPr="00EE003D" w:rsidRDefault="00692ADF" w:rsidP="00692ADF">
      <w:pPr>
        <w:numPr>
          <w:ilvl w:val="0"/>
          <w:numId w:val="8"/>
        </w:numPr>
        <w:rPr>
          <w:rFonts w:ascii="Open Sans Light" w:hAnsi="Open Sans Light" w:cs="Open Sans Light"/>
        </w:rPr>
      </w:pPr>
      <w:r w:rsidRPr="00EE003D">
        <w:rPr>
          <w:rFonts w:ascii="Open Sans Light" w:hAnsi="Open Sans Light" w:cs="Open Sans Light"/>
        </w:rPr>
        <w:t>In the organisation’s name.</w:t>
      </w:r>
    </w:p>
    <w:p w14:paraId="5C812857" w14:textId="77777777" w:rsidR="00692ADF" w:rsidRPr="00EE003D" w:rsidRDefault="00692ADF" w:rsidP="00692ADF">
      <w:pPr>
        <w:numPr>
          <w:ilvl w:val="0"/>
          <w:numId w:val="8"/>
        </w:numPr>
        <w:rPr>
          <w:rFonts w:ascii="Open Sans Light" w:hAnsi="Open Sans Light" w:cs="Open Sans Light"/>
        </w:rPr>
      </w:pPr>
      <w:r w:rsidRPr="00EE003D">
        <w:rPr>
          <w:rFonts w:ascii="Open Sans Light" w:hAnsi="Open Sans Light" w:cs="Open Sans Light"/>
        </w:rPr>
        <w:t>Less than three months old. </w:t>
      </w:r>
    </w:p>
    <w:p w14:paraId="61F57BED" w14:textId="77777777" w:rsidR="00692ADF" w:rsidRPr="00EE003D" w:rsidRDefault="00692ADF" w:rsidP="00692ADF">
      <w:pPr>
        <w:numPr>
          <w:ilvl w:val="0"/>
          <w:numId w:val="8"/>
        </w:numPr>
        <w:rPr>
          <w:rFonts w:ascii="Open Sans Light" w:hAnsi="Open Sans Light" w:cs="Open Sans Light"/>
        </w:rPr>
      </w:pPr>
      <w:r w:rsidRPr="00EE003D">
        <w:rPr>
          <w:rFonts w:ascii="Open Sans Light" w:hAnsi="Open Sans Light" w:cs="Open Sans Light"/>
        </w:rPr>
        <w:t>A bank account has at least two unrelated signatories. If signatories are related, a bank mandate should be provided preventing them from signing together.  </w:t>
      </w:r>
    </w:p>
    <w:p w14:paraId="186A1355" w14:textId="25F6D386" w:rsidR="00692ADF" w:rsidRDefault="00692ADF" w:rsidP="00EE003D">
      <w:pPr>
        <w:pStyle w:val="ListParagraph"/>
        <w:numPr>
          <w:ilvl w:val="0"/>
          <w:numId w:val="16"/>
        </w:numPr>
        <w:rPr>
          <w:rFonts w:ascii="Open Sans Light" w:hAnsi="Open Sans Light" w:cs="Open Sans Light"/>
          <w:color w:val="00A19A"/>
        </w:rPr>
      </w:pPr>
      <w:r w:rsidRPr="00EE003D">
        <w:rPr>
          <w:rFonts w:ascii="Open Sans Light" w:hAnsi="Open Sans Light" w:cs="Open Sans Light"/>
          <w:color w:val="00A19A"/>
        </w:rPr>
        <w:t xml:space="preserve">We check </w:t>
      </w:r>
      <w:proofErr w:type="gramStart"/>
      <w:r w:rsidRPr="00EE003D">
        <w:rPr>
          <w:rFonts w:ascii="Open Sans Light" w:hAnsi="Open Sans Light" w:cs="Open Sans Light"/>
          <w:color w:val="00A19A"/>
        </w:rPr>
        <w:t>policies</w:t>
      </w:r>
      <w:proofErr w:type="gramEnd"/>
      <w:r w:rsidRPr="00EE003D">
        <w:rPr>
          <w:rFonts w:ascii="Open Sans Light" w:hAnsi="Open Sans Light" w:cs="Open Sans Light"/>
          <w:color w:val="00A19A"/>
        </w:rPr>
        <w:t>  </w:t>
      </w:r>
    </w:p>
    <w:p w14:paraId="0B0826D2" w14:textId="77777777" w:rsidR="00EE003D" w:rsidRPr="00EE003D" w:rsidRDefault="00EE003D" w:rsidP="00EE003D">
      <w:pPr>
        <w:pStyle w:val="ListParagraph"/>
        <w:rPr>
          <w:rFonts w:ascii="Open Sans Light" w:hAnsi="Open Sans Light" w:cs="Open Sans Light"/>
          <w:color w:val="00A19A"/>
        </w:rPr>
      </w:pPr>
    </w:p>
    <w:p w14:paraId="38745170" w14:textId="77777777" w:rsidR="00692ADF" w:rsidRPr="00EE003D" w:rsidRDefault="00692ADF" w:rsidP="00EE003D">
      <w:pPr>
        <w:pStyle w:val="ListParagraph"/>
        <w:rPr>
          <w:rFonts w:ascii="Open Sans Light" w:hAnsi="Open Sans Light" w:cs="Open Sans Light"/>
        </w:rPr>
      </w:pPr>
      <w:r w:rsidRPr="00EE003D">
        <w:rPr>
          <w:rFonts w:ascii="Open Sans Light" w:hAnsi="Open Sans Light" w:cs="Open Sans Light"/>
        </w:rPr>
        <w:t>Check that the group has appropriate Safeguarding for their activities – needs to include the following:   </w:t>
      </w:r>
    </w:p>
    <w:p w14:paraId="6164F9F2" w14:textId="77777777" w:rsidR="00692ADF" w:rsidRPr="00EE003D" w:rsidRDefault="00692ADF" w:rsidP="00692ADF">
      <w:pPr>
        <w:numPr>
          <w:ilvl w:val="0"/>
          <w:numId w:val="10"/>
        </w:numPr>
        <w:rPr>
          <w:rFonts w:ascii="Open Sans Light" w:hAnsi="Open Sans Light" w:cs="Open Sans Light"/>
        </w:rPr>
      </w:pPr>
      <w:r w:rsidRPr="00EE003D">
        <w:rPr>
          <w:rFonts w:ascii="Open Sans Light" w:hAnsi="Open Sans Light" w:cs="Open Sans Light"/>
        </w:rPr>
        <w:t>Definitions of abuse and signs of abuse and a description of how abuse is different for adults (if working with both children and vulnerable adults). </w:t>
      </w:r>
    </w:p>
    <w:p w14:paraId="79D5A4F5" w14:textId="77777777" w:rsidR="00692ADF" w:rsidRPr="00EE003D" w:rsidRDefault="00692ADF" w:rsidP="00692ADF">
      <w:pPr>
        <w:numPr>
          <w:ilvl w:val="0"/>
          <w:numId w:val="10"/>
        </w:numPr>
        <w:rPr>
          <w:rFonts w:ascii="Open Sans Light" w:hAnsi="Open Sans Light" w:cs="Open Sans Light"/>
        </w:rPr>
      </w:pPr>
      <w:r w:rsidRPr="00EE003D">
        <w:rPr>
          <w:rFonts w:ascii="Open Sans Light" w:hAnsi="Open Sans Light" w:cs="Open Sans Light"/>
        </w:rPr>
        <w:t>Procedure for reporting safeguarding concerns. </w:t>
      </w:r>
    </w:p>
    <w:p w14:paraId="1426485D" w14:textId="77777777" w:rsidR="00692ADF" w:rsidRPr="00EE003D" w:rsidRDefault="00692ADF" w:rsidP="00692ADF">
      <w:pPr>
        <w:numPr>
          <w:ilvl w:val="0"/>
          <w:numId w:val="10"/>
        </w:numPr>
        <w:rPr>
          <w:rFonts w:ascii="Open Sans Light" w:hAnsi="Open Sans Light" w:cs="Open Sans Light"/>
        </w:rPr>
      </w:pPr>
      <w:r w:rsidRPr="00EE003D">
        <w:rPr>
          <w:rFonts w:ascii="Open Sans Light" w:hAnsi="Open Sans Light" w:cs="Open Sans Light"/>
        </w:rPr>
        <w:t>Procedure for handling cases of disclosure revealed by DBS checks.  </w:t>
      </w:r>
    </w:p>
    <w:p w14:paraId="1BB2C6EB" w14:textId="77777777" w:rsidR="00692ADF" w:rsidRPr="00EE003D" w:rsidRDefault="00692ADF" w:rsidP="00692ADF">
      <w:pPr>
        <w:numPr>
          <w:ilvl w:val="0"/>
          <w:numId w:val="10"/>
        </w:numPr>
        <w:rPr>
          <w:rFonts w:ascii="Open Sans Light" w:hAnsi="Open Sans Light" w:cs="Open Sans Light"/>
        </w:rPr>
      </w:pPr>
      <w:r w:rsidRPr="00EE003D">
        <w:rPr>
          <w:rFonts w:ascii="Open Sans Light" w:hAnsi="Open Sans Light" w:cs="Open Sans Light"/>
        </w:rPr>
        <w:t>The name of the person responsible for protection. </w:t>
      </w:r>
    </w:p>
    <w:p w14:paraId="3485E283" w14:textId="77777777" w:rsidR="00692ADF" w:rsidRPr="00EE003D" w:rsidRDefault="00692ADF" w:rsidP="00692ADF">
      <w:pPr>
        <w:numPr>
          <w:ilvl w:val="0"/>
          <w:numId w:val="10"/>
        </w:numPr>
        <w:rPr>
          <w:rFonts w:ascii="Open Sans Light" w:hAnsi="Open Sans Light" w:cs="Open Sans Light"/>
        </w:rPr>
      </w:pPr>
      <w:r w:rsidRPr="00EE003D">
        <w:rPr>
          <w:rFonts w:ascii="Open Sans Light" w:hAnsi="Open Sans Light" w:cs="Open Sans Light"/>
        </w:rPr>
        <w:t>The name of the local safeguarding board.  </w:t>
      </w:r>
    </w:p>
    <w:p w14:paraId="0F4F9DD3" w14:textId="77777777" w:rsidR="00692ADF" w:rsidRPr="00EE003D" w:rsidRDefault="00692ADF" w:rsidP="00692ADF">
      <w:pPr>
        <w:numPr>
          <w:ilvl w:val="0"/>
          <w:numId w:val="10"/>
        </w:numPr>
        <w:rPr>
          <w:rFonts w:ascii="Open Sans Light" w:hAnsi="Open Sans Light" w:cs="Open Sans Light"/>
        </w:rPr>
      </w:pPr>
      <w:r w:rsidRPr="00EE003D">
        <w:rPr>
          <w:rFonts w:ascii="Open Sans Light" w:hAnsi="Open Sans Light" w:cs="Open Sans Light"/>
        </w:rPr>
        <w:t>All staff, volunteers and Trustees who are working directly with vulnerable adults and/or children should have the appropriate DBS checks and there is an understanding of when enhanced DBS checks should be carried out. </w:t>
      </w:r>
    </w:p>
    <w:p w14:paraId="7C666025" w14:textId="77777777" w:rsidR="00692ADF" w:rsidRPr="00EE003D" w:rsidRDefault="00692ADF" w:rsidP="00692ADF">
      <w:pPr>
        <w:numPr>
          <w:ilvl w:val="0"/>
          <w:numId w:val="10"/>
        </w:numPr>
        <w:rPr>
          <w:rFonts w:ascii="Open Sans Light" w:hAnsi="Open Sans Light" w:cs="Open Sans Light"/>
        </w:rPr>
      </w:pPr>
      <w:r w:rsidRPr="00EE003D">
        <w:rPr>
          <w:rFonts w:ascii="Open Sans Light" w:hAnsi="Open Sans Light" w:cs="Open Sans Light"/>
        </w:rPr>
        <w:t>All staff, volunteers and trustees who work indirectly with vulnerable adults and/or children receive safeguarding training.   </w:t>
      </w:r>
    </w:p>
    <w:p w14:paraId="7E8369FE" w14:textId="77777777" w:rsidR="00692ADF" w:rsidRPr="00EE003D" w:rsidRDefault="00692ADF" w:rsidP="00692ADF">
      <w:pPr>
        <w:numPr>
          <w:ilvl w:val="0"/>
          <w:numId w:val="10"/>
        </w:numPr>
        <w:rPr>
          <w:rFonts w:ascii="Open Sans Light" w:hAnsi="Open Sans Light" w:cs="Open Sans Light"/>
        </w:rPr>
      </w:pPr>
      <w:r w:rsidRPr="00EE003D">
        <w:rPr>
          <w:rFonts w:ascii="Open Sans Light" w:hAnsi="Open Sans Light" w:cs="Open Sans Light"/>
        </w:rPr>
        <w:t>Risk assessments are carried out to ensure vulnerable adults and/or children in their care are safe. </w:t>
      </w:r>
    </w:p>
    <w:p w14:paraId="408DA8C7" w14:textId="69A4276F" w:rsidR="00692ADF" w:rsidRPr="00EE003D" w:rsidRDefault="00692ADF" w:rsidP="00692ADF">
      <w:pPr>
        <w:numPr>
          <w:ilvl w:val="0"/>
          <w:numId w:val="10"/>
        </w:numPr>
        <w:rPr>
          <w:rFonts w:ascii="Open Sans Light" w:hAnsi="Open Sans Light" w:cs="Open Sans Light"/>
        </w:rPr>
      </w:pPr>
      <w:r w:rsidRPr="00EE003D">
        <w:rPr>
          <w:rFonts w:ascii="Open Sans Light" w:hAnsi="Open Sans Light" w:cs="Open Sans Light"/>
        </w:rPr>
        <w:t>Check frequency at which the policy is reviewed, suggest annually.  </w:t>
      </w:r>
    </w:p>
    <w:p w14:paraId="1590A320" w14:textId="77777777" w:rsidR="00692ADF" w:rsidRPr="00EE003D" w:rsidRDefault="00692ADF" w:rsidP="00692ADF">
      <w:pPr>
        <w:numPr>
          <w:ilvl w:val="0"/>
          <w:numId w:val="11"/>
        </w:numPr>
        <w:rPr>
          <w:rFonts w:ascii="Open Sans Light" w:hAnsi="Open Sans Light" w:cs="Open Sans Light"/>
        </w:rPr>
      </w:pPr>
      <w:r w:rsidRPr="00EE003D">
        <w:rPr>
          <w:rFonts w:ascii="Open Sans Light" w:hAnsi="Open Sans Light" w:cs="Open Sans Light"/>
        </w:rPr>
        <w:t>General – check for any returns regarding serious incidents. </w:t>
      </w:r>
    </w:p>
    <w:p w14:paraId="605D3063" w14:textId="5989BB05" w:rsidR="00692ADF" w:rsidRPr="00EE003D" w:rsidRDefault="00692ADF" w:rsidP="00EE003D">
      <w:pPr>
        <w:ind w:left="720"/>
        <w:rPr>
          <w:rFonts w:ascii="Open Sans Light" w:hAnsi="Open Sans Light" w:cs="Open Sans Light"/>
        </w:rPr>
      </w:pPr>
      <w:r w:rsidRPr="00EE003D">
        <w:rPr>
          <w:rFonts w:ascii="Open Sans Light" w:hAnsi="Open Sans Light" w:cs="Open Sans Light"/>
        </w:rPr>
        <w:t> </w:t>
      </w:r>
      <w:r w:rsidRPr="00EE003D">
        <w:rPr>
          <w:rFonts w:ascii="Open Sans Light" w:hAnsi="Open Sans Light" w:cs="Open Sans Light"/>
          <w:b/>
          <w:bCs/>
        </w:rPr>
        <w:t xml:space="preserve">Equity, </w:t>
      </w:r>
      <w:proofErr w:type="gramStart"/>
      <w:r w:rsidRPr="00EE003D">
        <w:rPr>
          <w:rFonts w:ascii="Open Sans Light" w:hAnsi="Open Sans Light" w:cs="Open Sans Light"/>
          <w:b/>
          <w:bCs/>
        </w:rPr>
        <w:t>Diversity</w:t>
      </w:r>
      <w:proofErr w:type="gramEnd"/>
      <w:r w:rsidRPr="00EE003D">
        <w:rPr>
          <w:rFonts w:ascii="Open Sans Light" w:hAnsi="Open Sans Light" w:cs="Open Sans Light"/>
          <w:b/>
          <w:bCs/>
        </w:rPr>
        <w:t xml:space="preserve"> and Inclusion Policy</w:t>
      </w:r>
      <w:r w:rsidRPr="00EE003D">
        <w:rPr>
          <w:rFonts w:ascii="Open Sans Light" w:hAnsi="Open Sans Light" w:cs="Open Sans Light"/>
        </w:rPr>
        <w:t> </w:t>
      </w:r>
    </w:p>
    <w:p w14:paraId="7216323C" w14:textId="77777777" w:rsidR="00692ADF" w:rsidRPr="00EE003D" w:rsidRDefault="00692ADF" w:rsidP="00EE003D">
      <w:pPr>
        <w:ind w:left="720"/>
        <w:rPr>
          <w:rFonts w:ascii="Open Sans Light" w:hAnsi="Open Sans Light" w:cs="Open Sans Light"/>
        </w:rPr>
      </w:pPr>
      <w:r w:rsidRPr="00EE003D">
        <w:rPr>
          <w:rFonts w:ascii="Open Sans Light" w:hAnsi="Open Sans Light" w:cs="Open Sans Light"/>
        </w:rPr>
        <w:t> References Equality Act 2010 </w:t>
      </w:r>
    </w:p>
    <w:p w14:paraId="589213B1" w14:textId="77777777" w:rsidR="00692ADF" w:rsidRPr="00EE003D" w:rsidRDefault="00692ADF" w:rsidP="00EE003D">
      <w:pPr>
        <w:numPr>
          <w:ilvl w:val="0"/>
          <w:numId w:val="12"/>
        </w:numPr>
        <w:tabs>
          <w:tab w:val="clear" w:pos="720"/>
          <w:tab w:val="num" w:pos="1440"/>
        </w:tabs>
        <w:ind w:left="1440"/>
        <w:rPr>
          <w:rFonts w:ascii="Open Sans Light" w:hAnsi="Open Sans Light" w:cs="Open Sans Light"/>
        </w:rPr>
      </w:pPr>
      <w:r w:rsidRPr="00EE003D">
        <w:rPr>
          <w:rFonts w:ascii="Open Sans Light" w:hAnsi="Open Sans Light" w:cs="Open Sans Light"/>
        </w:rPr>
        <w:t>Policy should cover age, being married or in a civil partnership, being pregnant</w:t>
      </w:r>
      <w:r w:rsidRPr="00EE003D">
        <w:rPr>
          <w:rFonts w:ascii="Arial" w:hAnsi="Arial" w:cs="Arial"/>
        </w:rPr>
        <w:t> </w:t>
      </w:r>
      <w:r w:rsidRPr="00EE003D">
        <w:rPr>
          <w:rFonts w:ascii="Open Sans Light" w:hAnsi="Open Sans Light" w:cs="Open Sans Light"/>
        </w:rPr>
        <w:t>or having a child, disability, race, religion/</w:t>
      </w:r>
      <w:proofErr w:type="gramStart"/>
      <w:r w:rsidRPr="00EE003D">
        <w:rPr>
          <w:rFonts w:ascii="Open Sans Light" w:hAnsi="Open Sans Light" w:cs="Open Sans Light"/>
        </w:rPr>
        <w:t>belief</w:t>
      </w:r>
      <w:proofErr w:type="gramEnd"/>
      <w:r w:rsidRPr="00EE003D">
        <w:rPr>
          <w:rFonts w:ascii="Open Sans Light" w:hAnsi="Open Sans Light" w:cs="Open Sans Light"/>
        </w:rPr>
        <w:t xml:space="preserve"> or lack of, gender, sexual orientation, transitioning gender.  </w:t>
      </w:r>
    </w:p>
    <w:p w14:paraId="770A5CB7" w14:textId="77777777" w:rsidR="00692ADF" w:rsidRPr="00EE003D" w:rsidRDefault="00692ADF" w:rsidP="00EE003D">
      <w:pPr>
        <w:numPr>
          <w:ilvl w:val="0"/>
          <w:numId w:val="12"/>
        </w:numPr>
        <w:tabs>
          <w:tab w:val="clear" w:pos="720"/>
          <w:tab w:val="num" w:pos="1440"/>
        </w:tabs>
        <w:ind w:left="1440"/>
        <w:rPr>
          <w:rFonts w:ascii="Open Sans Light" w:hAnsi="Open Sans Light" w:cs="Open Sans Light"/>
        </w:rPr>
      </w:pPr>
      <w:r w:rsidRPr="00EE003D">
        <w:rPr>
          <w:rFonts w:ascii="Open Sans Light" w:hAnsi="Open Sans Light" w:cs="Open Sans Light"/>
        </w:rPr>
        <w:t>Equal access to services and employment. </w:t>
      </w:r>
    </w:p>
    <w:p w14:paraId="6393DC81" w14:textId="77777777" w:rsidR="00692ADF" w:rsidRPr="00EE003D" w:rsidRDefault="00692ADF" w:rsidP="00EE003D">
      <w:pPr>
        <w:numPr>
          <w:ilvl w:val="0"/>
          <w:numId w:val="12"/>
        </w:numPr>
        <w:tabs>
          <w:tab w:val="clear" w:pos="720"/>
          <w:tab w:val="num" w:pos="1440"/>
        </w:tabs>
        <w:ind w:left="1440"/>
        <w:rPr>
          <w:rFonts w:ascii="Open Sans Light" w:hAnsi="Open Sans Light" w:cs="Open Sans Light"/>
        </w:rPr>
      </w:pPr>
      <w:r w:rsidRPr="00EE003D">
        <w:rPr>
          <w:rFonts w:ascii="Open Sans Light" w:hAnsi="Open Sans Light" w:cs="Open Sans Light"/>
        </w:rPr>
        <w:lastRenderedPageBreak/>
        <w:t>Preventing harassment and ensuring everyone is treated equally. </w:t>
      </w:r>
    </w:p>
    <w:p w14:paraId="3A7F1CCD" w14:textId="77777777" w:rsidR="00692ADF" w:rsidRPr="00EE003D" w:rsidRDefault="00692ADF" w:rsidP="00EE003D">
      <w:pPr>
        <w:numPr>
          <w:ilvl w:val="0"/>
          <w:numId w:val="12"/>
        </w:numPr>
        <w:tabs>
          <w:tab w:val="clear" w:pos="720"/>
          <w:tab w:val="num" w:pos="1440"/>
        </w:tabs>
        <w:ind w:left="1440"/>
        <w:rPr>
          <w:rFonts w:ascii="Open Sans Light" w:hAnsi="Open Sans Light" w:cs="Open Sans Light"/>
        </w:rPr>
      </w:pPr>
      <w:r w:rsidRPr="00EE003D">
        <w:rPr>
          <w:rFonts w:ascii="Open Sans Light" w:hAnsi="Open Sans Light" w:cs="Open Sans Light"/>
        </w:rPr>
        <w:t>Complaints are dealt with fairly. </w:t>
      </w:r>
    </w:p>
    <w:p w14:paraId="1A56FD25" w14:textId="3FD747D2" w:rsidR="00692ADF" w:rsidRPr="00EE003D" w:rsidRDefault="00692ADF" w:rsidP="00EE003D">
      <w:pPr>
        <w:pStyle w:val="ListParagraph"/>
        <w:numPr>
          <w:ilvl w:val="0"/>
          <w:numId w:val="16"/>
        </w:numPr>
        <w:rPr>
          <w:rFonts w:ascii="Open Sans Light" w:hAnsi="Open Sans Light" w:cs="Open Sans Light"/>
          <w:color w:val="00A19A"/>
        </w:rPr>
      </w:pPr>
      <w:r w:rsidRPr="00EE003D">
        <w:rPr>
          <w:rFonts w:ascii="Open Sans Light" w:hAnsi="Open Sans Light" w:cs="Open Sans Light"/>
          <w:color w:val="00A19A"/>
        </w:rPr>
        <w:t>We check Staff and Trustees </w:t>
      </w:r>
    </w:p>
    <w:p w14:paraId="163A26CC" w14:textId="77777777" w:rsidR="00692ADF" w:rsidRPr="00EE003D" w:rsidRDefault="00692ADF" w:rsidP="00692ADF">
      <w:pPr>
        <w:pStyle w:val="ListParagraph"/>
        <w:numPr>
          <w:ilvl w:val="0"/>
          <w:numId w:val="15"/>
        </w:numPr>
        <w:rPr>
          <w:rFonts w:ascii="Open Sans Light" w:hAnsi="Open Sans Light" w:cs="Open Sans Light"/>
        </w:rPr>
      </w:pPr>
      <w:r w:rsidRPr="00EE003D">
        <w:rPr>
          <w:rFonts w:ascii="Open Sans Light" w:hAnsi="Open Sans Light" w:cs="Open Sans Light"/>
        </w:rPr>
        <w:t>Proportionate amount of full-time and/or paid staff and Trustees for the size of the organisation  </w:t>
      </w:r>
    </w:p>
    <w:p w14:paraId="222B2F07" w14:textId="77777777" w:rsidR="00692ADF" w:rsidRPr="00EE003D" w:rsidRDefault="00692ADF" w:rsidP="00692ADF">
      <w:pPr>
        <w:numPr>
          <w:ilvl w:val="0"/>
          <w:numId w:val="14"/>
        </w:numPr>
        <w:rPr>
          <w:rFonts w:ascii="Open Sans Light" w:hAnsi="Open Sans Light" w:cs="Open Sans Light"/>
          <w:color w:val="00A19A"/>
        </w:rPr>
      </w:pPr>
      <w:r w:rsidRPr="00EE003D">
        <w:rPr>
          <w:rFonts w:ascii="Open Sans Light" w:hAnsi="Open Sans Light" w:cs="Open Sans Light"/>
          <w:color w:val="00A19A"/>
        </w:rPr>
        <w:t>Track record </w:t>
      </w:r>
    </w:p>
    <w:p w14:paraId="6DB7E825" w14:textId="12DA1262" w:rsidR="00692ADF" w:rsidRPr="00EE003D" w:rsidRDefault="00692ADF" w:rsidP="00EE003D">
      <w:pPr>
        <w:ind w:left="720"/>
        <w:rPr>
          <w:rFonts w:ascii="Open Sans Light" w:hAnsi="Open Sans Light" w:cs="Open Sans Light"/>
        </w:rPr>
      </w:pPr>
      <w:r w:rsidRPr="00EE003D">
        <w:rPr>
          <w:rFonts w:ascii="Open Sans Light" w:hAnsi="Open Sans Light" w:cs="Open Sans Light"/>
        </w:rPr>
        <w:t>We check the group’s HCF track record for any concerns regarding monitoring if funded previously. </w:t>
      </w:r>
    </w:p>
    <w:p w14:paraId="76CC17CE" w14:textId="77777777" w:rsidR="00A54238" w:rsidRPr="00EE003D" w:rsidRDefault="00A54238">
      <w:pPr>
        <w:rPr>
          <w:rFonts w:ascii="Open Sans Light" w:hAnsi="Open Sans Light" w:cs="Open Sans Light"/>
        </w:rPr>
      </w:pPr>
    </w:p>
    <w:sectPr w:rsidR="00A54238" w:rsidRPr="00EE003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9BBAA" w14:textId="77777777" w:rsidR="00EE003D" w:rsidRDefault="00EE003D" w:rsidP="00EE003D">
      <w:pPr>
        <w:spacing w:after="0" w:line="240" w:lineRule="auto"/>
      </w:pPr>
      <w:r>
        <w:separator/>
      </w:r>
    </w:p>
  </w:endnote>
  <w:endnote w:type="continuationSeparator" w:id="0">
    <w:p w14:paraId="2CF06A6D" w14:textId="77777777" w:rsidR="00EE003D" w:rsidRDefault="00EE003D" w:rsidP="00EE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SemiBold">
    <w:charset w:val="00"/>
    <w:family w:val="auto"/>
    <w:pitch w:val="variable"/>
    <w:sig w:usb0="2000020F" w:usb1="00000003" w:usb2="00000000" w:usb3="00000000" w:csb0="00000197"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42E934" w14:textId="77777777" w:rsidR="00EE003D" w:rsidRDefault="00EE003D" w:rsidP="00EE003D">
      <w:pPr>
        <w:spacing w:after="0" w:line="240" w:lineRule="auto"/>
      </w:pPr>
      <w:r>
        <w:separator/>
      </w:r>
    </w:p>
  </w:footnote>
  <w:footnote w:type="continuationSeparator" w:id="0">
    <w:p w14:paraId="7C910AA5" w14:textId="77777777" w:rsidR="00EE003D" w:rsidRDefault="00EE003D" w:rsidP="00EE0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68217" w14:textId="24B37592" w:rsidR="00EE003D" w:rsidRDefault="00EE003D" w:rsidP="00EE003D">
    <w:pPr>
      <w:pStyle w:val="Header"/>
      <w:jc w:val="center"/>
    </w:pPr>
    <w:r>
      <w:rPr>
        <w:noProof/>
        <w14:ligatures w14:val="standardContextual"/>
      </w:rPr>
      <w:drawing>
        <wp:inline distT="0" distB="0" distL="0" distR="0" wp14:anchorId="13B21D3C" wp14:editId="539A25F5">
          <wp:extent cx="2232660" cy="1170007"/>
          <wp:effectExtent l="0" t="0" r="0" b="0"/>
          <wp:docPr id="193963953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639534"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6766" cy="11773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A68F2"/>
    <w:multiLevelType w:val="multilevel"/>
    <w:tmpl w:val="B3E2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850CB"/>
    <w:multiLevelType w:val="multilevel"/>
    <w:tmpl w:val="7C86BB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1CAD5C98"/>
    <w:multiLevelType w:val="multilevel"/>
    <w:tmpl w:val="0D40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B26B8E"/>
    <w:multiLevelType w:val="multilevel"/>
    <w:tmpl w:val="F698C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7B35CD"/>
    <w:multiLevelType w:val="multilevel"/>
    <w:tmpl w:val="940C38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36A4647"/>
    <w:multiLevelType w:val="multilevel"/>
    <w:tmpl w:val="AA0ADC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1116BC"/>
    <w:multiLevelType w:val="multilevel"/>
    <w:tmpl w:val="B51C5F9E"/>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7" w15:restartNumberingAfterBreak="0">
    <w:nsid w:val="3D4D60C8"/>
    <w:multiLevelType w:val="multilevel"/>
    <w:tmpl w:val="4A08A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3B6C10"/>
    <w:multiLevelType w:val="multilevel"/>
    <w:tmpl w:val="BF7A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2D7706"/>
    <w:multiLevelType w:val="multilevel"/>
    <w:tmpl w:val="D46020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EC6F6A"/>
    <w:multiLevelType w:val="multilevel"/>
    <w:tmpl w:val="2C66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172AA"/>
    <w:multiLevelType w:val="multilevel"/>
    <w:tmpl w:val="6AC0AD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FB796C"/>
    <w:multiLevelType w:val="multilevel"/>
    <w:tmpl w:val="11A2F6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063FDA"/>
    <w:multiLevelType w:val="hybridMultilevel"/>
    <w:tmpl w:val="F73A2B3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78854F76"/>
    <w:multiLevelType w:val="multilevel"/>
    <w:tmpl w:val="39BC421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7AED37CD"/>
    <w:multiLevelType w:val="hybridMultilevel"/>
    <w:tmpl w:val="011C0D7E"/>
    <w:lvl w:ilvl="0" w:tplc="BA8C0898">
      <w:start w:val="1"/>
      <w:numFmt w:val="decimal"/>
      <w:lvlText w:val="%1."/>
      <w:lvlJc w:val="left"/>
      <w:pPr>
        <w:ind w:left="720" w:hanging="360"/>
      </w:pPr>
      <w:rPr>
        <w:rFonts w:hint="default"/>
        <w:color w:val="00A19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0905602">
    <w:abstractNumId w:val="2"/>
  </w:num>
  <w:num w:numId="2" w16cid:durableId="770010265">
    <w:abstractNumId w:val="0"/>
  </w:num>
  <w:num w:numId="3" w16cid:durableId="597174821">
    <w:abstractNumId w:val="3"/>
  </w:num>
  <w:num w:numId="4" w16cid:durableId="228153305">
    <w:abstractNumId w:val="14"/>
  </w:num>
  <w:num w:numId="5" w16cid:durableId="812260072">
    <w:abstractNumId w:val="5"/>
  </w:num>
  <w:num w:numId="6" w16cid:durableId="856389264">
    <w:abstractNumId w:val="4"/>
  </w:num>
  <w:num w:numId="7" w16cid:durableId="923297881">
    <w:abstractNumId w:val="11"/>
  </w:num>
  <w:num w:numId="8" w16cid:durableId="2080322659">
    <w:abstractNumId w:val="1"/>
  </w:num>
  <w:num w:numId="9" w16cid:durableId="853376847">
    <w:abstractNumId w:val="12"/>
  </w:num>
  <w:num w:numId="10" w16cid:durableId="1720015807">
    <w:abstractNumId w:val="6"/>
  </w:num>
  <w:num w:numId="11" w16cid:durableId="180097042">
    <w:abstractNumId w:val="8"/>
  </w:num>
  <w:num w:numId="12" w16cid:durableId="606041184">
    <w:abstractNumId w:val="10"/>
  </w:num>
  <w:num w:numId="13" w16cid:durableId="568343440">
    <w:abstractNumId w:val="9"/>
  </w:num>
  <w:num w:numId="14" w16cid:durableId="369960824">
    <w:abstractNumId w:val="7"/>
  </w:num>
  <w:num w:numId="15" w16cid:durableId="1845589512">
    <w:abstractNumId w:val="13"/>
  </w:num>
  <w:num w:numId="16" w16cid:durableId="4064189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DF"/>
    <w:rsid w:val="00632F55"/>
    <w:rsid w:val="00692ADF"/>
    <w:rsid w:val="00925301"/>
    <w:rsid w:val="00A41C55"/>
    <w:rsid w:val="00A54238"/>
    <w:rsid w:val="00D16583"/>
    <w:rsid w:val="00EE0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94251"/>
  <w15:chartTrackingRefBased/>
  <w15:docId w15:val="{9D9F4A40-0461-440D-A27E-F91F1B2C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AD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ADF"/>
    <w:pPr>
      <w:ind w:left="720"/>
      <w:contextualSpacing/>
    </w:pPr>
  </w:style>
  <w:style w:type="paragraph" w:styleId="Header">
    <w:name w:val="header"/>
    <w:basedOn w:val="Normal"/>
    <w:link w:val="HeaderChar"/>
    <w:uiPriority w:val="99"/>
    <w:unhideWhenUsed/>
    <w:rsid w:val="00EE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03D"/>
    <w:rPr>
      <w:kern w:val="0"/>
      <w14:ligatures w14:val="none"/>
    </w:rPr>
  </w:style>
  <w:style w:type="paragraph" w:styleId="Footer">
    <w:name w:val="footer"/>
    <w:basedOn w:val="Normal"/>
    <w:link w:val="FooterChar"/>
    <w:uiPriority w:val="99"/>
    <w:unhideWhenUsed/>
    <w:rsid w:val="00EE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03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CC1F03E478A4FA22E0021B6964FDF" ma:contentTypeVersion="16" ma:contentTypeDescription="Create a new document." ma:contentTypeScope="" ma:versionID="d338120e424fcdf29b12973228e06ca0">
  <xsd:schema xmlns:xsd="http://www.w3.org/2001/XMLSchema" xmlns:xs="http://www.w3.org/2001/XMLSchema" xmlns:p="http://schemas.microsoft.com/office/2006/metadata/properties" xmlns:ns2="b4727509-b139-429f-a248-64ba89eec53c" xmlns:ns3="4729345b-4ba6-42f0-999e-688102c15542" targetNamespace="http://schemas.microsoft.com/office/2006/metadata/properties" ma:root="true" ma:fieldsID="d725da2001e3c156b34fb281a97a2071" ns2:_="" ns3:_="">
    <xsd:import namespace="b4727509-b139-429f-a248-64ba89eec53c"/>
    <xsd:import namespace="4729345b-4ba6-42f0-999e-688102c15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7509-b139-429f-a248-64ba89eec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c51ec7-226f-40ed-9b15-e18bf9cd409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9345b-4ba6-42f0-999e-688102c1554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046ae4c-a2d8-44a7-8203-57cd0f01b32b}" ma:internalName="TaxCatchAll" ma:showField="CatchAllData" ma:web="4729345b-4ba6-42f0-999e-688102c155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29345b-4ba6-42f0-999e-688102c15542" xsi:nil="true"/>
    <lcf76f155ced4ddcb4097134ff3c332f xmlns="b4727509-b139-429f-a248-64ba89eec5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282727-A4C6-43CD-8C3C-BFC8CE947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27509-b139-429f-a248-64ba89eec53c"/>
    <ds:schemaRef ds:uri="4729345b-4ba6-42f0-999e-688102c15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C6159-EAEC-435F-93BF-83DA042E66DB}">
  <ds:schemaRefs>
    <ds:schemaRef ds:uri="http://schemas.microsoft.com/sharepoint/v3/contenttype/forms"/>
  </ds:schemaRefs>
</ds:datastoreItem>
</file>

<file path=customXml/itemProps3.xml><?xml version="1.0" encoding="utf-8"?>
<ds:datastoreItem xmlns:ds="http://schemas.openxmlformats.org/officeDocument/2006/customXml" ds:itemID="{624E8B09-3DDE-4B9B-A561-AB013C60ADAB}">
  <ds:schemaRefs>
    <ds:schemaRef ds:uri="http://schemas.microsoft.com/office/2006/metadata/properties"/>
    <ds:schemaRef ds:uri="http://schemas.microsoft.com/office/infopath/2007/PartnerControls"/>
    <ds:schemaRef ds:uri="6b30f5f5-9d6e-4be3-81ff-574d42522480"/>
    <ds:schemaRef ds:uri="4729345b-4ba6-42f0-999e-688102c15542"/>
    <ds:schemaRef ds:uri="b4727509-b139-429f-a248-64ba89eec53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Doubal</dc:creator>
  <cp:keywords/>
  <dc:description/>
  <cp:lastModifiedBy>Christy Conroy</cp:lastModifiedBy>
  <cp:revision>2</cp:revision>
  <dcterms:created xsi:type="dcterms:W3CDTF">2024-04-05T13:18:00Z</dcterms:created>
  <dcterms:modified xsi:type="dcterms:W3CDTF">2024-04-05T13:18:00Z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0x010100E05CC1F03E478A4FA22E0021B6964FDF</vt:lpwstr>
  </property>
</Properties>
</file>