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E4B" w14:textId="6FCD570E" w:rsidR="00286FCF" w:rsidRDefault="009B27C4" w:rsidP="00D92D2C">
      <w:pPr>
        <w:pStyle w:val="Heading1"/>
      </w:pPr>
      <w:r>
        <w:t>The trustees board year</w:t>
      </w:r>
    </w:p>
    <w:p w14:paraId="0FD36757" w14:textId="299DC16A" w:rsidR="000D22D8" w:rsidRPr="000D22D8" w:rsidRDefault="006C2FDD" w:rsidP="000D22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0666C" wp14:editId="2925E8C5">
                <wp:simplePos x="0" y="0"/>
                <wp:positionH relativeFrom="page">
                  <wp:posOffset>6641465</wp:posOffset>
                </wp:positionH>
                <wp:positionV relativeFrom="paragraph">
                  <wp:posOffset>650875</wp:posOffset>
                </wp:positionV>
                <wp:extent cx="0" cy="1308100"/>
                <wp:effectExtent l="2040890" t="10160" r="2038985" b="571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BE1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2.95pt,51.25pt" to="522.95pt,15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3J0BMCAAApBAAADgAAAGRycy9lMm9Eb2MueG1srFPBjtowEL1X6j9YvkMSSCl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" strokeweight=".48pt">
                <w10:wrap anchorx="page"/>
              </v:line>
            </w:pict>
          </mc:Fallback>
        </mc:AlternateContent>
      </w:r>
      <w:r>
        <w:t>Each cell represents one hour. The whole table represents four quarterly meetings plus a trustee board “</w:t>
      </w:r>
      <w:r w:rsidRPr="006C2FDD">
        <w:t>awayday</w:t>
      </w:r>
      <w:r>
        <w:t>” and an AGM.</w:t>
      </w:r>
    </w:p>
    <w:tbl>
      <w:tblPr>
        <w:tblStyle w:val="TableGrid"/>
        <w:tblW w:w="10076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6C2FDD" w:rsidRPr="00BC6328" w14:paraId="3340EB8A" w14:textId="77777777" w:rsidTr="006C2FDD">
        <w:trPr>
          <w:trHeight w:val="2154"/>
        </w:trPr>
        <w:tc>
          <w:tcPr>
            <w:tcW w:w="6717" w:type="dxa"/>
            <w:gridSpan w:val="2"/>
            <w:shd w:val="clear" w:color="auto" w:fill="91AEC7"/>
            <w:vAlign w:val="center"/>
          </w:tcPr>
          <w:p w14:paraId="0A4138C4" w14:textId="3A6F081D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Receive operational reports against planned targets &amp; provide help as needed</w:t>
            </w:r>
          </w:p>
        </w:tc>
        <w:tc>
          <w:tcPr>
            <w:tcW w:w="3359" w:type="dxa"/>
            <w:shd w:val="clear" w:color="auto" w:fill="97237A"/>
            <w:vAlign w:val="center"/>
          </w:tcPr>
          <w:p w14:paraId="4EF5B0E4" w14:textId="77777777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AGM</w:t>
            </w:r>
          </w:p>
          <w:p w14:paraId="032B67FC" w14:textId="2B02AF41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New trustees</w:t>
            </w:r>
          </w:p>
        </w:tc>
      </w:tr>
      <w:tr w:rsidR="006C2FDD" w:rsidRPr="00BC6328" w14:paraId="2309F7A2" w14:textId="77777777" w:rsidTr="006C2FDD">
        <w:trPr>
          <w:trHeight w:val="2154"/>
        </w:trPr>
        <w:tc>
          <w:tcPr>
            <w:tcW w:w="3358" w:type="dxa"/>
            <w:shd w:val="clear" w:color="auto" w:fill="006B80"/>
            <w:vAlign w:val="center"/>
          </w:tcPr>
          <w:p w14:paraId="1DE8F75E" w14:textId="08A1216D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Financial Reports</w:t>
            </w:r>
            <w:r w:rsidRPr="006C2FDD">
              <w:rPr>
                <w:color w:val="FCFCFC" w:themeColor="background2"/>
              </w:rPr>
              <w:br/>
              <w:t>from Treasurer</w:t>
            </w:r>
          </w:p>
          <w:p w14:paraId="6F39140A" w14:textId="2084614A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Budgets</w:t>
            </w:r>
          </w:p>
        </w:tc>
        <w:tc>
          <w:tcPr>
            <w:tcW w:w="3359" w:type="dxa"/>
            <w:shd w:val="clear" w:color="auto" w:fill="008245"/>
            <w:vAlign w:val="center"/>
          </w:tcPr>
          <w:p w14:paraId="7BC2BBAA" w14:textId="376859A4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Policy scrutiny</w:t>
            </w:r>
            <w:r w:rsidRPr="006C2FDD">
              <w:rPr>
                <w:color w:val="FCFCFC" w:themeColor="background2"/>
              </w:rPr>
              <w:br/>
              <w:t>– updates annually</w:t>
            </w:r>
          </w:p>
        </w:tc>
        <w:tc>
          <w:tcPr>
            <w:tcW w:w="3359" w:type="dxa"/>
            <w:shd w:val="clear" w:color="auto" w:fill="242A73"/>
            <w:vAlign w:val="center"/>
          </w:tcPr>
          <w:p w14:paraId="78A668A8" w14:textId="1C4835CE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Receive risk analysis</w:t>
            </w:r>
            <w:r w:rsidRPr="006C2FDD">
              <w:rPr>
                <w:color w:val="FCFCFC" w:themeColor="background2"/>
              </w:rPr>
              <w:br/>
              <w:t>&amp; agree risk management plans</w:t>
            </w:r>
          </w:p>
        </w:tc>
      </w:tr>
      <w:tr w:rsidR="006C2FDD" w:rsidRPr="00BC6328" w14:paraId="637C0CE4" w14:textId="77777777" w:rsidTr="006C2FDD">
        <w:trPr>
          <w:trHeight w:val="2154"/>
        </w:trPr>
        <w:tc>
          <w:tcPr>
            <w:tcW w:w="3358" w:type="dxa"/>
            <w:shd w:val="clear" w:color="auto" w:fill="303C42"/>
            <w:vAlign w:val="center"/>
          </w:tcPr>
          <w:p w14:paraId="7A07E4B1" w14:textId="01F26426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Ensuring good governance; QA</w:t>
            </w:r>
            <w:r w:rsidRPr="006C2FDD">
              <w:rPr>
                <w:color w:val="FCFCFC" w:themeColor="background2"/>
              </w:rPr>
              <w:br/>
              <w:t>&amp; continuous improvement</w:t>
            </w:r>
          </w:p>
        </w:tc>
        <w:tc>
          <w:tcPr>
            <w:tcW w:w="6718" w:type="dxa"/>
            <w:gridSpan w:val="2"/>
            <w:shd w:val="clear" w:color="auto" w:fill="91AEC7"/>
            <w:vAlign w:val="center"/>
          </w:tcPr>
          <w:p w14:paraId="619A6BB8" w14:textId="77777777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Trustee Training</w:t>
            </w:r>
          </w:p>
          <w:p w14:paraId="12370308" w14:textId="7C2359D7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(both short sessions and a longer one at awayday)</w:t>
            </w:r>
          </w:p>
        </w:tc>
      </w:tr>
      <w:tr w:rsidR="006C2FDD" w:rsidRPr="00BC6328" w14:paraId="1DE47F1D" w14:textId="77777777" w:rsidTr="006C2FDD">
        <w:trPr>
          <w:trHeight w:val="2154"/>
        </w:trPr>
        <w:tc>
          <w:tcPr>
            <w:tcW w:w="3358" w:type="dxa"/>
            <w:shd w:val="clear" w:color="auto" w:fill="97237A"/>
            <w:vAlign w:val="center"/>
          </w:tcPr>
          <w:p w14:paraId="75B9928D" w14:textId="733A91CD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Environment scanning; strategy monitoring &amp; regular review</w:t>
            </w:r>
          </w:p>
        </w:tc>
        <w:tc>
          <w:tcPr>
            <w:tcW w:w="3359" w:type="dxa"/>
            <w:shd w:val="clear" w:color="auto" w:fill="242A73"/>
            <w:vAlign w:val="center"/>
          </w:tcPr>
          <w:p w14:paraId="6B382C66" w14:textId="5A958449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Impact measurement and annual reports</w:t>
            </w:r>
          </w:p>
        </w:tc>
        <w:tc>
          <w:tcPr>
            <w:tcW w:w="3359" w:type="dxa"/>
            <w:shd w:val="clear" w:color="auto" w:fill="006B80"/>
            <w:vAlign w:val="center"/>
          </w:tcPr>
          <w:p w14:paraId="650C2496" w14:textId="652FFF7B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Skills audit, gap analysis and succession planning</w:t>
            </w:r>
          </w:p>
        </w:tc>
      </w:tr>
      <w:tr w:rsidR="006C2FDD" w:rsidRPr="00BC6328" w14:paraId="34020FBF" w14:textId="77777777" w:rsidTr="006C2FDD">
        <w:trPr>
          <w:trHeight w:val="2154"/>
        </w:trPr>
        <w:tc>
          <w:tcPr>
            <w:tcW w:w="3358" w:type="dxa"/>
            <w:shd w:val="clear" w:color="auto" w:fill="008245"/>
            <w:vAlign w:val="center"/>
          </w:tcPr>
          <w:p w14:paraId="79E76F44" w14:textId="4EBA68FA" w:rsidR="006C2FDD" w:rsidRPr="006C2FDD" w:rsidRDefault="006C2FDD" w:rsidP="00D25AF6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Influencing, networking &amp;</w:t>
            </w:r>
            <w:r w:rsidRPr="006C2FDD">
              <w:rPr>
                <w:color w:val="FCFCFC" w:themeColor="background2"/>
              </w:rPr>
              <w:br/>
            </w:r>
            <w:r w:rsidR="00D25AF6">
              <w:rPr>
                <w:color w:val="FCFCFC" w:themeColor="background2"/>
              </w:rPr>
              <w:t>communication</w:t>
            </w:r>
            <w:r w:rsidR="00D25AF6">
              <w:rPr>
                <w:color w:val="FCFCFC" w:themeColor="background2"/>
              </w:rPr>
              <w:br/>
            </w:r>
            <w:bookmarkStart w:id="0" w:name="_GoBack"/>
            <w:bookmarkEnd w:id="0"/>
            <w:r w:rsidRPr="006C2FDD">
              <w:rPr>
                <w:color w:val="FCFCFC" w:themeColor="background2"/>
              </w:rPr>
              <w:t>plans</w:t>
            </w:r>
          </w:p>
        </w:tc>
        <w:tc>
          <w:tcPr>
            <w:tcW w:w="6718" w:type="dxa"/>
            <w:gridSpan w:val="2"/>
            <w:shd w:val="clear" w:color="auto" w:fill="303C42"/>
            <w:vAlign w:val="center"/>
          </w:tcPr>
          <w:p w14:paraId="26EDA11A" w14:textId="77777777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Annual Mission &amp; Strategy Review</w:t>
            </w:r>
          </w:p>
          <w:p w14:paraId="44B377A7" w14:textId="054A2882" w:rsidR="006C2FDD" w:rsidRPr="006C2FDD" w:rsidRDefault="006C2FDD" w:rsidP="006C2FDD">
            <w:pPr>
              <w:pStyle w:val="Heading2"/>
              <w:jc w:val="center"/>
              <w:rPr>
                <w:color w:val="FCFCFC" w:themeColor="background2"/>
              </w:rPr>
            </w:pPr>
            <w:r w:rsidRPr="006C2FDD">
              <w:rPr>
                <w:color w:val="FCFCFC" w:themeColor="background2"/>
              </w:rPr>
              <w:t>Annual awayday</w:t>
            </w:r>
          </w:p>
        </w:tc>
      </w:tr>
    </w:tbl>
    <w:p w14:paraId="2F0D11C5" w14:textId="3943BC80" w:rsidR="000D5346" w:rsidRPr="007771DE" w:rsidRDefault="000D5346" w:rsidP="006C2FDD">
      <w:pPr>
        <w:rPr>
          <w:i/>
        </w:rPr>
      </w:pPr>
    </w:p>
    <w:sectPr w:rsidR="000D5346" w:rsidRPr="007771DE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303D"/>
    <w:multiLevelType w:val="hybridMultilevel"/>
    <w:tmpl w:val="AAD2C5C8"/>
    <w:lvl w:ilvl="0" w:tplc="24286D1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466E3D98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7DCCA28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109685F0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BE0416A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1A86E1C6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E80221C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0622ACE8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CAC97E2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1">
    <w:nsid w:val="1D771217"/>
    <w:multiLevelType w:val="hybridMultilevel"/>
    <w:tmpl w:val="77E63902"/>
    <w:lvl w:ilvl="0" w:tplc="8DACA46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769C9926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C68679CC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248099A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50344F42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EBF22E3A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D9A880C4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ACED08A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EF70534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2">
    <w:nsid w:val="20B43F6A"/>
    <w:multiLevelType w:val="hybridMultilevel"/>
    <w:tmpl w:val="F13C4DA2"/>
    <w:lvl w:ilvl="0" w:tplc="B2B0B652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15E8BF5A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A92A1CA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30187BCA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928ED2C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CD5CB69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94F8958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B8DEB002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58087F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3">
    <w:nsid w:val="27325DB2"/>
    <w:multiLevelType w:val="hybridMultilevel"/>
    <w:tmpl w:val="5E28C09A"/>
    <w:lvl w:ilvl="0" w:tplc="7F9AA8B0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05329BD2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455EAD6E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D256D5F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0974077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E30B2AC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1B062B8C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211EFEB0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3238DBC6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4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0233A"/>
    <w:multiLevelType w:val="hybridMultilevel"/>
    <w:tmpl w:val="56F2E06E"/>
    <w:lvl w:ilvl="0" w:tplc="75909C04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6D2913E">
      <w:start w:val="1"/>
      <w:numFmt w:val="lowerLetter"/>
      <w:lvlText w:val="%2."/>
      <w:lvlJc w:val="left"/>
      <w:pPr>
        <w:ind w:left="281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A0C38A8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05389A18">
      <w:numFmt w:val="bullet"/>
      <w:lvlText w:val="•"/>
      <w:lvlJc w:val="left"/>
      <w:pPr>
        <w:ind w:left="1855" w:hanging="281"/>
      </w:pPr>
      <w:rPr>
        <w:rFonts w:hint="default"/>
      </w:rPr>
    </w:lvl>
    <w:lvl w:ilvl="4" w:tplc="09B00F40">
      <w:numFmt w:val="bullet"/>
      <w:lvlText w:val="•"/>
      <w:lvlJc w:val="left"/>
      <w:pPr>
        <w:ind w:left="2891" w:hanging="281"/>
      </w:pPr>
      <w:rPr>
        <w:rFonts w:hint="default"/>
      </w:rPr>
    </w:lvl>
    <w:lvl w:ilvl="5" w:tplc="86EA5112">
      <w:numFmt w:val="bullet"/>
      <w:lvlText w:val="•"/>
      <w:lvlJc w:val="left"/>
      <w:pPr>
        <w:ind w:left="3927" w:hanging="281"/>
      </w:pPr>
      <w:rPr>
        <w:rFonts w:hint="default"/>
      </w:rPr>
    </w:lvl>
    <w:lvl w:ilvl="6" w:tplc="A0C64D5A">
      <w:numFmt w:val="bullet"/>
      <w:lvlText w:val="•"/>
      <w:lvlJc w:val="left"/>
      <w:pPr>
        <w:ind w:left="4963" w:hanging="281"/>
      </w:pPr>
      <w:rPr>
        <w:rFonts w:hint="default"/>
      </w:rPr>
    </w:lvl>
    <w:lvl w:ilvl="7" w:tplc="CA3604B4">
      <w:numFmt w:val="bullet"/>
      <w:lvlText w:val="•"/>
      <w:lvlJc w:val="left"/>
      <w:pPr>
        <w:ind w:left="5999" w:hanging="281"/>
      </w:pPr>
      <w:rPr>
        <w:rFonts w:hint="default"/>
      </w:rPr>
    </w:lvl>
    <w:lvl w:ilvl="8" w:tplc="CBDC660E">
      <w:numFmt w:val="bullet"/>
      <w:lvlText w:val="•"/>
      <w:lvlJc w:val="left"/>
      <w:pPr>
        <w:ind w:left="7034" w:hanging="281"/>
      </w:pPr>
      <w:rPr>
        <w:rFonts w:hint="default"/>
      </w:rPr>
    </w:lvl>
  </w:abstractNum>
  <w:abstractNum w:abstractNumId="6">
    <w:nsid w:val="68D15FD9"/>
    <w:multiLevelType w:val="hybridMultilevel"/>
    <w:tmpl w:val="89145E18"/>
    <w:lvl w:ilvl="0" w:tplc="33A2337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986E62FC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DD940C52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EED4BC02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4AC2557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3AED44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60E4805A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D86213E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91340474">
      <w:numFmt w:val="bullet"/>
      <w:lvlText w:val="•"/>
      <w:lvlJc w:val="left"/>
      <w:pPr>
        <w:ind w:left="3684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C"/>
    <w:rsid w:val="00004957"/>
    <w:rsid w:val="000552FE"/>
    <w:rsid w:val="000D22D8"/>
    <w:rsid w:val="000D5346"/>
    <w:rsid w:val="001245F6"/>
    <w:rsid w:val="00151ECA"/>
    <w:rsid w:val="001853CE"/>
    <w:rsid w:val="00276D12"/>
    <w:rsid w:val="003C5954"/>
    <w:rsid w:val="003C7526"/>
    <w:rsid w:val="003E58BF"/>
    <w:rsid w:val="003F2AB7"/>
    <w:rsid w:val="00465626"/>
    <w:rsid w:val="005013A6"/>
    <w:rsid w:val="00507564"/>
    <w:rsid w:val="00577187"/>
    <w:rsid w:val="005D249D"/>
    <w:rsid w:val="00621D26"/>
    <w:rsid w:val="006C2FDD"/>
    <w:rsid w:val="00726AE1"/>
    <w:rsid w:val="007771DE"/>
    <w:rsid w:val="007D6F06"/>
    <w:rsid w:val="00883E80"/>
    <w:rsid w:val="008D1626"/>
    <w:rsid w:val="008F6F5A"/>
    <w:rsid w:val="009B27C4"/>
    <w:rsid w:val="00A26436"/>
    <w:rsid w:val="00BC6328"/>
    <w:rsid w:val="00C23E85"/>
    <w:rsid w:val="00D147B6"/>
    <w:rsid w:val="00D25AF6"/>
    <w:rsid w:val="00D53F20"/>
    <w:rsid w:val="00D834F8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1DE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834F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C2FDD"/>
    <w:pPr>
      <w:keepNext/>
      <w:keepLines/>
      <w:tabs>
        <w:tab w:val="clear" w:pos="10366"/>
      </w:tabs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Cs w:val="0"/>
      <w:color w:val="1E5E89" w:themeColor="accent1" w:themeShade="BF"/>
      <w:spacing w:val="0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2FDD"/>
    <w:pPr>
      <w:widowControl w:val="0"/>
      <w:tabs>
        <w:tab w:val="center" w:pos="4513"/>
        <w:tab w:val="right" w:pos="9026"/>
      </w:tabs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2FDD"/>
    <w:rPr>
      <w:rFonts w:ascii="Arial" w:eastAsia="Arial" w:hAnsi="Arial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D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DD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B5930-9A56-2B48-BB64-4BA762DD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trustees boards’ year</vt:lpstr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2017-08-30T12:06:00Z</cp:lastPrinted>
  <dcterms:created xsi:type="dcterms:W3CDTF">2017-08-30T12:09:00Z</dcterms:created>
  <dcterms:modified xsi:type="dcterms:W3CDTF">2017-09-12T12:06:00Z</dcterms:modified>
</cp:coreProperties>
</file>